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16" w:rsidRPr="00DA15E3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611246" wp14:editId="2706B12B">
            <wp:extent cx="704850" cy="853239"/>
            <wp:effectExtent l="0" t="0" r="0" b="4445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16" w:rsidRPr="00DA15E3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916" w:rsidRPr="00DA15E3" w:rsidRDefault="007F7916" w:rsidP="007F7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7F7916" w:rsidRPr="00DA15E3" w:rsidRDefault="007F7916" w:rsidP="007F7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7F7916" w:rsidRPr="00DA15E3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7F7916" w:rsidRPr="00DA15E3" w:rsidRDefault="007F7916" w:rsidP="007F7916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A15E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F7916" w:rsidRPr="00DA15E3" w:rsidRDefault="007F7916" w:rsidP="007F7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C778C4" wp14:editId="6D70DDA1">
                <wp:simplePos x="0" y="0"/>
                <wp:positionH relativeFrom="column">
                  <wp:posOffset>15240</wp:posOffset>
                </wp:positionH>
                <wp:positionV relativeFrom="paragraph">
                  <wp:posOffset>634</wp:posOffset>
                </wp:positionV>
                <wp:extent cx="6189345" cy="0"/>
                <wp:effectExtent l="0" t="19050" r="209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.05pt" to="48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F7916" w:rsidRPr="003108D4" w:rsidRDefault="007F7916" w:rsidP="007F7916">
      <w:pPr>
        <w:spacing w:after="0" w:line="240" w:lineRule="auto"/>
        <w:ind w:right="510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 30  » декабря    2020</w:t>
      </w:r>
      <w:r w:rsidRPr="003108D4">
        <w:rPr>
          <w:rFonts w:ascii="Times New Roman" w:eastAsia="Times New Roman" w:hAnsi="Times New Roman"/>
          <w:lang w:eastAsia="ru-RU"/>
        </w:rPr>
        <w:t xml:space="preserve"> г.  №</w:t>
      </w:r>
      <w:r>
        <w:rPr>
          <w:rFonts w:ascii="Times New Roman" w:eastAsia="Times New Roman" w:hAnsi="Times New Roman"/>
          <w:lang w:eastAsia="ru-RU"/>
        </w:rPr>
        <w:t xml:space="preserve"> 818</w:t>
      </w:r>
    </w:p>
    <w:p w:rsidR="007F7916" w:rsidRDefault="007F7916" w:rsidP="007F7916">
      <w:pPr>
        <w:spacing w:after="0" w:line="240" w:lineRule="auto"/>
        <w:ind w:right="510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</w:t>
      </w:r>
      <w:proofErr w:type="spellStart"/>
      <w:r w:rsidRPr="003108D4">
        <w:rPr>
          <w:rFonts w:ascii="Times New Roman" w:eastAsia="Times New Roman" w:hAnsi="Times New Roman"/>
          <w:lang w:eastAsia="ru-RU"/>
        </w:rPr>
        <w:t>г</w:t>
      </w:r>
      <w:proofErr w:type="gramStart"/>
      <w:r w:rsidRPr="003108D4">
        <w:rPr>
          <w:rFonts w:ascii="Times New Roman" w:eastAsia="Times New Roman" w:hAnsi="Times New Roman"/>
          <w:lang w:eastAsia="ru-RU"/>
        </w:rPr>
        <w:t>.Ч</w:t>
      </w:r>
      <w:proofErr w:type="gramEnd"/>
      <w:r w:rsidRPr="003108D4">
        <w:rPr>
          <w:rFonts w:ascii="Times New Roman" w:eastAsia="Times New Roman" w:hAnsi="Times New Roman"/>
          <w:lang w:eastAsia="ru-RU"/>
        </w:rPr>
        <w:t>ебаркуль</w:t>
      </w:r>
      <w:proofErr w:type="spellEnd"/>
    </w:p>
    <w:p w:rsidR="007F7916" w:rsidRPr="003108D4" w:rsidRDefault="007F7916" w:rsidP="007F7916">
      <w:pPr>
        <w:spacing w:after="0" w:line="240" w:lineRule="auto"/>
        <w:ind w:right="5103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F7916" w:rsidRPr="009471AB" w:rsidTr="0064033E">
        <w:trPr>
          <w:trHeight w:val="1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7916" w:rsidRPr="009471AB" w:rsidRDefault="007F7916" w:rsidP="00640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1AB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муниципальную программу «Поддержка социально ориентированных некоммерческих организаций Чебаркульского городского округа» на 2020-2022 годы</w:t>
            </w:r>
          </w:p>
        </w:tc>
      </w:tr>
    </w:tbl>
    <w:p w:rsidR="007F7916" w:rsidRPr="009471AB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7916" w:rsidRPr="009471AB" w:rsidRDefault="007F7916" w:rsidP="007F7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916" w:rsidRPr="009471AB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4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                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7F7916" w:rsidRPr="009471AB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7F7916" w:rsidRPr="009471AB" w:rsidRDefault="007F7916" w:rsidP="007F7916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1AB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муниципальную программу «</w:t>
      </w:r>
      <w:r w:rsidRPr="009471AB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</w:t>
      </w:r>
      <w:r>
        <w:rPr>
          <w:rFonts w:ascii="Times New Roman" w:hAnsi="Times New Roman"/>
          <w:sz w:val="28"/>
          <w:szCs w:val="28"/>
        </w:rPr>
        <w:t>а», утвержденную постановлением</w:t>
      </w:r>
      <w:r w:rsidRPr="009471AB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от 11.11.2019 г. № 626, следующие изменения:</w:t>
      </w:r>
    </w:p>
    <w:p w:rsidR="007F7916" w:rsidRPr="009471AB" w:rsidRDefault="007F7916" w:rsidP="007F7916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1AB">
        <w:rPr>
          <w:rFonts w:ascii="Times New Roman" w:hAnsi="Times New Roman"/>
          <w:sz w:val="28"/>
          <w:szCs w:val="28"/>
        </w:rPr>
        <w:t>По всему тексту слова «итого: 2020 год – 1 457 000,00 рублей» заменить словами «итого</w:t>
      </w:r>
      <w:r>
        <w:rPr>
          <w:rFonts w:ascii="Times New Roman" w:hAnsi="Times New Roman"/>
          <w:sz w:val="28"/>
          <w:szCs w:val="28"/>
        </w:rPr>
        <w:t>: 2020 год – 1 343 542,00 рубля</w:t>
      </w:r>
      <w:r w:rsidRPr="009471AB">
        <w:rPr>
          <w:rFonts w:ascii="Times New Roman" w:hAnsi="Times New Roman"/>
          <w:sz w:val="28"/>
          <w:szCs w:val="28"/>
        </w:rPr>
        <w:t>»;</w:t>
      </w:r>
    </w:p>
    <w:p w:rsidR="007F7916" w:rsidRPr="009471AB" w:rsidRDefault="007F7916" w:rsidP="007F7916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1AB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 читать в новой редакции (приложение 1);</w:t>
      </w:r>
    </w:p>
    <w:p w:rsidR="007F7916" w:rsidRPr="008657A1" w:rsidRDefault="007F7916" w:rsidP="007F7916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1AB">
        <w:rPr>
          <w:rFonts w:ascii="Times New Roman" w:hAnsi="Times New Roman"/>
          <w:sz w:val="28"/>
          <w:szCs w:val="28"/>
        </w:rPr>
        <w:t>Таблицу  раздела 5 «Ресурсное обеспечение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читать в новой редакции (приложение 2)</w:t>
      </w:r>
      <w:r w:rsidRPr="009471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7916" w:rsidRPr="009471AB" w:rsidRDefault="007F7916" w:rsidP="007F7916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Таблицу</w:t>
      </w:r>
      <w:r w:rsidRPr="00044D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7 «Ожидаемые результаты реализации муниципальной программы с указанием показателей»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 строке 2 на 2020 год «показатель 12» заменить на «показатель 5».</w:t>
      </w:r>
    </w:p>
    <w:p w:rsidR="007F7916" w:rsidRDefault="007F7916" w:rsidP="007F7916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1AB">
        <w:rPr>
          <w:rFonts w:ascii="Times New Roman" w:hAnsi="Times New Roman"/>
          <w:sz w:val="28"/>
          <w:szCs w:val="28"/>
        </w:rPr>
        <w:t xml:space="preserve">Отделу информационно-коммуникационных технологий администрации Чебаркульского городского округа (Епифанов А.А) опубликовать </w:t>
      </w:r>
      <w:r w:rsidRPr="009471AB">
        <w:rPr>
          <w:rFonts w:ascii="Times New Roman" w:hAnsi="Times New Roman"/>
          <w:sz w:val="28"/>
          <w:szCs w:val="28"/>
        </w:rPr>
        <w:lastRenderedPageBreak/>
        <w:t>настоящее постановление в порядке, установленном для официального опубликования муниципальных правовых актов.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F7916" w:rsidRPr="009471AB" w:rsidRDefault="007F7916" w:rsidP="007F7916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1A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7F7916" w:rsidRDefault="007F7916" w:rsidP="007F791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Pr="009471AB" w:rsidRDefault="007F7916" w:rsidP="007F791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7F7916" w:rsidRPr="009471AB" w:rsidRDefault="007F7916" w:rsidP="007F791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 городского округа                                        С.А. Виноградова</w:t>
      </w:r>
    </w:p>
    <w:p w:rsidR="007F7916" w:rsidRDefault="007F7916">
      <w:r>
        <w:br w:type="page"/>
      </w:r>
    </w:p>
    <w:p w:rsidR="007F7916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7F7916" w:rsidRDefault="007F7916" w:rsidP="007F7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F7916" w:rsidRDefault="007F7916" w:rsidP="007F7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 30 декабря 2020 г.№ 818 </w:t>
      </w:r>
    </w:p>
    <w:p w:rsidR="007F7916" w:rsidRDefault="007F7916" w:rsidP="007F791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 </w:t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253"/>
      </w:tblGrid>
      <w:tr w:rsidR="007F7916" w:rsidTr="0064033E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Чебаркульского городского округа (далее-УСЗН ЧГО).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916" w:rsidTr="0064033E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Чебаркульского городского округа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городского округа (далее – УФКиС ЧГО), Управление муниципальной собственности администрации Чебаркульского городского округа (далее - УМС ЧГО), Управление культуры администрации Чебаркульского городского округа (далее-УК ЧГО), Управление жилищно-коммунального хозяйства администрации Чебаркульского городского округа (далее – УЖКХ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ЧГО).</w:t>
            </w:r>
            <w:proofErr w:type="gramEnd"/>
          </w:p>
        </w:tc>
      </w:tr>
      <w:tr w:rsidR="007F7916" w:rsidTr="0064033E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3C4DF0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7F7916" w:rsidTr="0064033E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округа.</w:t>
            </w:r>
          </w:p>
        </w:tc>
      </w:tr>
      <w:tr w:rsidR="007F7916" w:rsidTr="0064033E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 задача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 деятельности социально ориентированных некоммерческих организаций (далее - СОНКО), осуществляющих свою деятельность на территории Чебаркульского городского округа. </w:t>
            </w:r>
          </w:p>
        </w:tc>
      </w:tr>
      <w:tr w:rsidR="007F7916" w:rsidTr="0064033E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программы: 2020-2022 годы.</w:t>
            </w:r>
          </w:p>
          <w:p w:rsidR="007F7916" w:rsidRDefault="007F7916" w:rsidP="00640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7F7916" w:rsidTr="0064033E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7F7916" w:rsidRDefault="007F7916" w:rsidP="00640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916" w:rsidTr="0064033E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2020 год и плановый период 2021 и 2022 годы составляет 3 759 542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759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542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средств местного бюджета,</w:t>
            </w:r>
          </w:p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7916" w:rsidRPr="00245DEB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2020 год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343 542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7F7916" w:rsidRPr="00245DEB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343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542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7F7916" w:rsidRPr="00245DEB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2021 год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7F7916" w:rsidRPr="00245DEB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7F7916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7F7916" w:rsidRPr="00245DEB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2022 год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1 208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7F7916" w:rsidRPr="00245DEB" w:rsidRDefault="007F7916" w:rsidP="0064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1 208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7F7916" w:rsidTr="0064033E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финансовую поддержку;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 имущественную поддержку;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 округа, получивших информационную  поддержку;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 консультационную поддержку.</w:t>
            </w:r>
          </w:p>
        </w:tc>
      </w:tr>
      <w:tr w:rsidR="007F7916" w:rsidTr="0064033E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F7916" w:rsidRDefault="007F7916" w:rsidP="00640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муниципальной программы к 2022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позволит: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сохранить на соответствующем уровне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поддержку: </w:t>
            </w:r>
          </w:p>
          <w:p w:rsidR="007F7916" w:rsidRPr="0097370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2020- 6 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</w:t>
            </w:r>
          </w:p>
          <w:p w:rsidR="007F7916" w:rsidRPr="0097370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2021- 7 организаций,</w:t>
            </w:r>
          </w:p>
          <w:p w:rsidR="007F7916" w:rsidRPr="0097370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2022- 7 организаций.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соответствующем уровне 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имущественную поддержку:</w:t>
            </w:r>
          </w:p>
          <w:p w:rsidR="007F7916" w:rsidRPr="001E6C32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2020-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организации,</w:t>
            </w:r>
          </w:p>
          <w:p w:rsidR="007F7916" w:rsidRPr="001E6C32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организации,</w:t>
            </w:r>
          </w:p>
          <w:p w:rsidR="007F7916" w:rsidRPr="001E6C32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организации.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публикаций СОНКО, получивших информационную поддержку:</w:t>
            </w:r>
          </w:p>
          <w:p w:rsidR="007F7916" w:rsidRPr="000C53D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2020- 6 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публикаций,</w:t>
            </w:r>
          </w:p>
          <w:p w:rsidR="007F7916" w:rsidRPr="000C53D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публикаций,</w:t>
            </w:r>
          </w:p>
          <w:p w:rsidR="007F7916" w:rsidRPr="000C53D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2022- 7 публикаций.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консультаций СОНКО, получивших  консультационную поддержку:</w:t>
            </w:r>
          </w:p>
          <w:p w:rsidR="007F7916" w:rsidRPr="000C53D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2020-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консультации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7F7916" w:rsidRPr="000C53DF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2021- 5 консультаций,</w:t>
            </w:r>
          </w:p>
          <w:p w:rsidR="007F7916" w:rsidRDefault="007F7916" w:rsidP="00640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2022- 5 консультаций.</w:t>
            </w:r>
          </w:p>
        </w:tc>
      </w:tr>
    </w:tbl>
    <w:p w:rsidR="007F7916" w:rsidRDefault="007F7916">
      <w:pPr>
        <w:sectPr w:rsidR="007F7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916" w:rsidRPr="00A346F5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7F7916" w:rsidRPr="00A346F5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F7916" w:rsidRPr="00A346F5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7F7916" w:rsidRPr="00A346F5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30 декабря 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818</w:t>
      </w:r>
    </w:p>
    <w:p w:rsidR="007F7916" w:rsidRPr="00A346F5" w:rsidRDefault="007F7916" w:rsidP="007F7916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916" w:rsidRDefault="007F7916" w:rsidP="007F79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916" w:rsidRDefault="007F7916" w:rsidP="007F79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бюджета Чебаркульского городского округа на 2020 год и плановый период  2021 и 2022 годов, финансирование  программы составляет:</w:t>
      </w:r>
    </w:p>
    <w:p w:rsidR="007F7916" w:rsidRPr="00793C0F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2020 год 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343 542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7F7916" w:rsidRPr="00793C0F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1 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8 000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7F7916" w:rsidRPr="00793C0F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1 208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рублей.</w:t>
      </w:r>
    </w:p>
    <w:p w:rsidR="007F7916" w:rsidRPr="00793C0F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финансирования  – 3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759542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,00рублей из средств местного бюджета.</w:t>
      </w:r>
    </w:p>
    <w:p w:rsidR="007F7916" w:rsidRPr="00B813E7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7916" w:rsidRDefault="007F7916" w:rsidP="007F7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F7916" w:rsidRDefault="007F7916" w:rsidP="007F791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F7916" w:rsidRDefault="007F7916" w:rsidP="007F79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127"/>
        <w:gridCol w:w="2551"/>
        <w:gridCol w:w="2126"/>
        <w:gridCol w:w="1701"/>
        <w:gridCol w:w="1560"/>
        <w:gridCol w:w="1559"/>
      </w:tblGrid>
      <w:tr w:rsidR="007F7916" w:rsidTr="0064033E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916" w:rsidTr="0064033E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F7916" w:rsidTr="006403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F7916" w:rsidTr="0064033E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«Поддержка социально ориентированных  некоммерческих организаций Чебаркульского городского округа» </w:t>
            </w:r>
          </w:p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2020-2022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343 542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7F7916" w:rsidTr="0064033E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343 542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7F7916" w:rsidTr="0064033E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52432D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поддержки СО НКО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343 542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7F7916" w:rsidTr="0064033E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343 542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7F7916" w:rsidTr="0064033E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зрению на финансовое обеспечение затрат для осуществления деятельности по реабилит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инвалидов по зрению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отбор);</w:t>
            </w:r>
          </w:p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7F7916" w:rsidTr="0064033E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7F7916" w:rsidTr="0064033E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9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среди молодежи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E64513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435 0707 66071 </w:t>
            </w:r>
            <w:r w:rsidRPr="002854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S3300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7F7916" w:rsidTr="0064033E">
        <w:trPr>
          <w:trHeight w:val="9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2854E7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9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2854E7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9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2854E7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7F7916" w:rsidTr="0064033E">
        <w:trPr>
          <w:trHeight w:val="9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2854E7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 СОНКО (СМИ) </w:t>
            </w:r>
          </w:p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2854E7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7F7916" w:rsidTr="0064033E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1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7F7916" w:rsidTr="0064033E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BF5207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для активного отдыха, способствующего приобщению к культурным, историческим и природным ценностям жителей Чебаркульского городского округа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Pr="00DB04F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443 0801 66056 80006 611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5137DA" w:rsidRDefault="007F7916" w:rsidP="0064033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5137DA" w:rsidRDefault="007F7916" w:rsidP="0064033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5137DA" w:rsidRDefault="007F7916" w:rsidP="0064033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5137DA" w:rsidRDefault="007F7916" w:rsidP="0064033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818 542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7F7916" w:rsidTr="0064033E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818 542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7F7916" w:rsidTr="0064033E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5964A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содержание, развитие и поддержку ведущих команд по хоккею, участвующих в чемпионатах и первенствах Челябинской области и Росси</w:t>
            </w:r>
            <w:proofErr w:type="gramStart"/>
            <w:r w:rsidRPr="005964A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373852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445 110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36605678003 634</w:t>
            </w:r>
          </w:p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7F7916" w:rsidTr="0064033E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7F7916" w:rsidTr="0064033E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BD3DBD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</w:t>
            </w:r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на участие в Чемпионатах и первенствах Челябинской области по греко-римской борьб</w:t>
            </w:r>
            <w:proofErr w:type="gramStart"/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445 1103  66056 78003 634</w:t>
            </w:r>
          </w:p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7F7916" w:rsidTr="0064033E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7F7916" w:rsidTr="0064033E">
        <w:trPr>
          <w:trHeight w:val="5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1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rPr>
                <w:rFonts w:ascii="Times New Roman" w:hAnsi="Times New Roman"/>
                <w:sz w:val="24"/>
                <w:szCs w:val="24"/>
              </w:rPr>
            </w:pPr>
            <w:r w:rsidRPr="00243221">
              <w:rPr>
                <w:rFonts w:ascii="Times New Roman" w:hAnsi="Times New Roman"/>
                <w:sz w:val="24"/>
                <w:szCs w:val="24"/>
              </w:rPr>
              <w:t>Предоставление субсидий на финансовое обеспечение затрат на содержание безнадзорных животных в Чебаркульском городском округе</w:t>
            </w:r>
          </w:p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221">
              <w:rPr>
                <w:rFonts w:ascii="Times New Roman" w:hAnsi="Times New Roman"/>
                <w:sz w:val="24"/>
                <w:szCs w:val="24"/>
              </w:rPr>
              <w:t>( конкурсный отбор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УЖКХ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BC3E58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440 0405  66056 79013 634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793C0F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916" w:rsidTr="0064033E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ЧГО, 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7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инспектор отдела организационной и контрольной работы, отдел 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ЧГО,  УМС ЧГО,</w:t>
            </w:r>
          </w:p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,УЖКХ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7F7916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УФКиС ЧГО. </w:t>
            </w:r>
          </w:p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7F7916" w:rsidTr="0064033E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Default="007F7916" w:rsidP="0064033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16" w:rsidRPr="00EB6609" w:rsidRDefault="007F7916" w:rsidP="00640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16" w:rsidRPr="00EB6609" w:rsidRDefault="007F7916" w:rsidP="00640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973443" w:rsidRDefault="00973443"/>
    <w:sectPr w:rsidR="00973443" w:rsidSect="007F7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34A"/>
    <w:multiLevelType w:val="multilevel"/>
    <w:tmpl w:val="110C4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FBC0426"/>
    <w:multiLevelType w:val="hybridMultilevel"/>
    <w:tmpl w:val="A69C4E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A"/>
    <w:rsid w:val="007F7916"/>
    <w:rsid w:val="00973443"/>
    <w:rsid w:val="00E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1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7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1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7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2021-03-02T04:30:00Z</dcterms:created>
  <dcterms:modified xsi:type="dcterms:W3CDTF">2021-03-02T04:33:00Z</dcterms:modified>
</cp:coreProperties>
</file>